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A2B" w:rsidRPr="002159FF" w:rsidRDefault="000B73E8" w:rsidP="000B73E8">
      <w:pPr>
        <w:jc w:val="center"/>
        <w:rPr>
          <w:sz w:val="22"/>
          <w:szCs w:val="22"/>
        </w:rPr>
      </w:pPr>
      <w:r w:rsidRPr="002159FF">
        <w:rPr>
          <w:noProof/>
          <w:sz w:val="22"/>
          <w:szCs w:val="22"/>
        </w:rPr>
        <w:drawing>
          <wp:inline distT="0" distB="0" distL="0" distR="0">
            <wp:extent cx="5733415" cy="524510"/>
            <wp:effectExtent l="19050" t="0" r="635" b="0"/>
            <wp:docPr id="1" name="Picture 0" descr="Fulbrigh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bright Header.jpg"/>
                    <pic:cNvPicPr/>
                  </pic:nvPicPr>
                  <pic:blipFill>
                    <a:blip r:embed="rId5" cstate="print"/>
                    <a:stretch>
                      <a:fillRect/>
                    </a:stretch>
                  </pic:blipFill>
                  <pic:spPr>
                    <a:xfrm>
                      <a:off x="0" y="0"/>
                      <a:ext cx="5733415" cy="524510"/>
                    </a:xfrm>
                    <a:prstGeom prst="rect">
                      <a:avLst/>
                    </a:prstGeom>
                  </pic:spPr>
                </pic:pic>
              </a:graphicData>
            </a:graphic>
          </wp:inline>
        </w:drawing>
      </w:r>
    </w:p>
    <w:p w:rsidR="00980A2B" w:rsidRPr="002159FF" w:rsidRDefault="00980A2B" w:rsidP="002B1978">
      <w:pPr>
        <w:rPr>
          <w:sz w:val="22"/>
          <w:szCs w:val="22"/>
        </w:rPr>
      </w:pPr>
    </w:p>
    <w:p w:rsidR="001949FF" w:rsidRPr="007652C7" w:rsidRDefault="00397F49" w:rsidP="003F00B3">
      <w:pPr>
        <w:jc w:val="center"/>
        <w:rPr>
          <w:sz w:val="20"/>
          <w:szCs w:val="20"/>
        </w:rPr>
      </w:pPr>
      <w:r w:rsidRPr="007652C7">
        <w:rPr>
          <w:sz w:val="20"/>
          <w:szCs w:val="20"/>
        </w:rPr>
        <w:t>HUBERT H. HUMPHREY FELLOWSHIP PROGRAM</w:t>
      </w:r>
    </w:p>
    <w:p w:rsidR="001949FF" w:rsidRPr="007652C7" w:rsidRDefault="001949FF" w:rsidP="001949FF">
      <w:pPr>
        <w:jc w:val="center"/>
        <w:rPr>
          <w:sz w:val="20"/>
          <w:szCs w:val="20"/>
        </w:rPr>
      </w:pPr>
    </w:p>
    <w:p w:rsidR="001949FF" w:rsidRPr="007652C7" w:rsidRDefault="00397F49" w:rsidP="00397F49">
      <w:pPr>
        <w:rPr>
          <w:sz w:val="20"/>
          <w:szCs w:val="20"/>
        </w:rPr>
      </w:pPr>
      <w:r w:rsidRPr="007652C7">
        <w:rPr>
          <w:b/>
          <w:sz w:val="20"/>
          <w:szCs w:val="20"/>
        </w:rPr>
        <w:t>PROGRAM GOAL:</w:t>
      </w:r>
      <w:r w:rsidR="002159FF" w:rsidRPr="007652C7">
        <w:rPr>
          <w:sz w:val="20"/>
          <w:szCs w:val="20"/>
        </w:rPr>
        <w:t xml:space="preserve">  </w:t>
      </w:r>
      <w:r w:rsidRPr="007652C7">
        <w:rPr>
          <w:sz w:val="20"/>
          <w:szCs w:val="20"/>
        </w:rPr>
        <w:t>Provides mid-career professionals from Egypt and other countries with an opportunity to enhance their professional capabilities through participation in specialized, 10-month, non-degree programs developed specifically for small clusters of fellows at selected U.S. universities.  To accomplish its objectives, programs include combinations of course work, independent projects, internships, consultations with U.S. faculty or experts, field trips, and special seminars.  Under the guidance of a designated faculty advisor or “coordinator,” fellows plan programs that best suit their individual career development needs.</w:t>
      </w:r>
    </w:p>
    <w:p w:rsidR="004F449B" w:rsidRPr="007652C7" w:rsidRDefault="004F449B" w:rsidP="00397F49">
      <w:pPr>
        <w:rPr>
          <w:sz w:val="20"/>
          <w:szCs w:val="20"/>
        </w:rPr>
      </w:pPr>
    </w:p>
    <w:p w:rsidR="004F449B" w:rsidRPr="007652C7" w:rsidRDefault="00397F49" w:rsidP="00743E69">
      <w:pPr>
        <w:rPr>
          <w:b/>
          <w:sz w:val="20"/>
          <w:szCs w:val="20"/>
        </w:rPr>
      </w:pPr>
      <w:r w:rsidRPr="007652C7">
        <w:rPr>
          <w:b/>
          <w:sz w:val="20"/>
          <w:szCs w:val="20"/>
        </w:rPr>
        <w:t>ELIGIBILITY CRITERIA:</w:t>
      </w:r>
    </w:p>
    <w:p w:rsidR="00397F49" w:rsidRPr="007652C7" w:rsidRDefault="00397F49" w:rsidP="00603FC1">
      <w:pPr>
        <w:numPr>
          <w:ilvl w:val="0"/>
          <w:numId w:val="7"/>
        </w:numPr>
        <w:rPr>
          <w:sz w:val="20"/>
          <w:szCs w:val="20"/>
        </w:rPr>
      </w:pPr>
      <w:r w:rsidRPr="007652C7">
        <w:rPr>
          <w:sz w:val="20"/>
          <w:szCs w:val="20"/>
        </w:rPr>
        <w:t>Egyptian citizenship; holders of U.S. green cards and/or passports are ineligible</w:t>
      </w:r>
      <w:r w:rsidR="00603FC1" w:rsidRPr="007652C7">
        <w:rPr>
          <w:sz w:val="20"/>
          <w:szCs w:val="20"/>
        </w:rPr>
        <w:t>.</w:t>
      </w:r>
    </w:p>
    <w:p w:rsidR="00397F49" w:rsidRPr="007652C7" w:rsidRDefault="00397F49" w:rsidP="00603FC1">
      <w:pPr>
        <w:numPr>
          <w:ilvl w:val="0"/>
          <w:numId w:val="7"/>
        </w:numPr>
        <w:rPr>
          <w:sz w:val="20"/>
          <w:szCs w:val="20"/>
        </w:rPr>
      </w:pPr>
      <w:r w:rsidRPr="007652C7">
        <w:rPr>
          <w:sz w:val="20"/>
          <w:szCs w:val="20"/>
        </w:rPr>
        <w:t>Bachelor</w:t>
      </w:r>
      <w:r w:rsidR="002159FF" w:rsidRPr="007652C7">
        <w:rPr>
          <w:sz w:val="20"/>
          <w:szCs w:val="20"/>
        </w:rPr>
        <w:t>’</w:t>
      </w:r>
      <w:r w:rsidRPr="007652C7">
        <w:rPr>
          <w:sz w:val="20"/>
          <w:szCs w:val="20"/>
        </w:rPr>
        <w:t>s degree in an appropriate field of study.</w:t>
      </w:r>
    </w:p>
    <w:p w:rsidR="00397F49" w:rsidRPr="007652C7" w:rsidRDefault="00397F49" w:rsidP="00603FC1">
      <w:pPr>
        <w:numPr>
          <w:ilvl w:val="0"/>
          <w:numId w:val="7"/>
        </w:numPr>
        <w:rPr>
          <w:sz w:val="20"/>
          <w:szCs w:val="20"/>
        </w:rPr>
      </w:pPr>
      <w:r w:rsidRPr="007652C7">
        <w:rPr>
          <w:sz w:val="20"/>
          <w:szCs w:val="20"/>
        </w:rPr>
        <w:t>Mid-career professionals in management leadership positions with potential for professional advancement.</w:t>
      </w:r>
    </w:p>
    <w:p w:rsidR="00397F49" w:rsidRPr="007652C7" w:rsidRDefault="00397F49" w:rsidP="00743E69">
      <w:pPr>
        <w:numPr>
          <w:ilvl w:val="0"/>
          <w:numId w:val="7"/>
        </w:numPr>
        <w:rPr>
          <w:sz w:val="20"/>
          <w:szCs w:val="20"/>
        </w:rPr>
      </w:pPr>
      <w:r w:rsidRPr="007652C7">
        <w:rPr>
          <w:sz w:val="20"/>
          <w:szCs w:val="20"/>
        </w:rPr>
        <w:t>Candidates should be policy rather than research or technically oriented, with at least five years of substantial and progressive professional experience.</w:t>
      </w:r>
    </w:p>
    <w:p w:rsidR="00397F49" w:rsidRPr="007652C7" w:rsidRDefault="00603FC1" w:rsidP="00397F49">
      <w:pPr>
        <w:numPr>
          <w:ilvl w:val="0"/>
          <w:numId w:val="7"/>
        </w:numPr>
        <w:rPr>
          <w:sz w:val="20"/>
          <w:szCs w:val="20"/>
        </w:rPr>
      </w:pPr>
      <w:r w:rsidRPr="007652C7">
        <w:rPr>
          <w:sz w:val="20"/>
          <w:szCs w:val="20"/>
        </w:rPr>
        <w:t>Qua</w:t>
      </w:r>
      <w:r w:rsidR="00397F49" w:rsidRPr="007652C7">
        <w:rPr>
          <w:sz w:val="20"/>
          <w:szCs w:val="20"/>
        </w:rPr>
        <w:t>lified women are encouraged to apply</w:t>
      </w:r>
      <w:r w:rsidRPr="007652C7">
        <w:rPr>
          <w:sz w:val="20"/>
          <w:szCs w:val="20"/>
        </w:rPr>
        <w:t>.</w:t>
      </w:r>
    </w:p>
    <w:p w:rsidR="00743E69" w:rsidRPr="007652C7" w:rsidRDefault="00743E69" w:rsidP="00743E69">
      <w:pPr>
        <w:pStyle w:val="Default"/>
        <w:numPr>
          <w:ilvl w:val="0"/>
          <w:numId w:val="7"/>
        </w:numPr>
        <w:adjustRightInd/>
        <w:rPr>
          <w:sz w:val="20"/>
          <w:szCs w:val="20"/>
        </w:rPr>
      </w:pPr>
      <w:r w:rsidRPr="007652C7">
        <w:rPr>
          <w:sz w:val="20"/>
          <w:szCs w:val="20"/>
        </w:rPr>
        <w:t>Minimum Institutional TOEFL score of 525 from AMIDEAST Egypt or any of the below ETS Authorized Distributors and/or ITP Testing Centers</w:t>
      </w:r>
    </w:p>
    <w:p w:rsidR="00743E69" w:rsidRPr="007652C7" w:rsidRDefault="00743E69" w:rsidP="00743E69">
      <w:pPr>
        <w:pStyle w:val="Default"/>
        <w:ind w:left="360"/>
        <w:rPr>
          <w:sz w:val="20"/>
          <w:szCs w:val="20"/>
        </w:rPr>
      </w:pPr>
    </w:p>
    <w:tbl>
      <w:tblPr>
        <w:tblW w:w="8505" w:type="dxa"/>
        <w:jc w:val="center"/>
        <w:tblCellMar>
          <w:left w:w="0" w:type="dxa"/>
          <w:right w:w="0" w:type="dxa"/>
        </w:tblCellMar>
        <w:tblLook w:val="04A0" w:firstRow="1" w:lastRow="0" w:firstColumn="1" w:lastColumn="0" w:noHBand="0" w:noVBand="1"/>
      </w:tblPr>
      <w:tblGrid>
        <w:gridCol w:w="3969"/>
        <w:gridCol w:w="4536"/>
      </w:tblGrid>
      <w:tr w:rsidR="00743E69" w:rsidRPr="007652C7" w:rsidTr="00AA0837">
        <w:trPr>
          <w:trHeight w:val="312"/>
          <w:jc w:val="center"/>
        </w:trPr>
        <w:tc>
          <w:tcPr>
            <w:tcW w:w="3969"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743E69" w:rsidRPr="007652C7" w:rsidRDefault="00743E69" w:rsidP="00AA0837">
            <w:pPr>
              <w:jc w:val="center"/>
              <w:rPr>
                <w:rFonts w:ascii="Calibri" w:eastAsiaTheme="minorHAnsi" w:hAnsi="Calibri"/>
                <w:b/>
                <w:bCs/>
                <w:color w:val="0D0D0D"/>
                <w:sz w:val="20"/>
                <w:szCs w:val="20"/>
              </w:rPr>
            </w:pPr>
            <w:bookmarkStart w:id="0" w:name="_GoBack" w:colFirst="0" w:colLast="1"/>
            <w:r w:rsidRPr="007652C7">
              <w:rPr>
                <w:b/>
                <w:bCs/>
                <w:color w:val="0D0D0D"/>
                <w:sz w:val="20"/>
                <w:szCs w:val="20"/>
              </w:rPr>
              <w:t>Center</w:t>
            </w:r>
          </w:p>
        </w:tc>
        <w:tc>
          <w:tcPr>
            <w:tcW w:w="4536"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743E69" w:rsidRPr="007652C7" w:rsidRDefault="00743E69" w:rsidP="00AA0837">
            <w:pPr>
              <w:jc w:val="center"/>
              <w:rPr>
                <w:rFonts w:ascii="Calibri" w:eastAsiaTheme="minorHAnsi" w:hAnsi="Calibri"/>
                <w:b/>
                <w:bCs/>
                <w:color w:val="0D0D0D"/>
                <w:sz w:val="20"/>
                <w:szCs w:val="20"/>
              </w:rPr>
            </w:pPr>
            <w:r w:rsidRPr="007652C7">
              <w:rPr>
                <w:b/>
                <w:bCs/>
                <w:color w:val="0D0D0D"/>
                <w:sz w:val="20"/>
                <w:szCs w:val="20"/>
              </w:rPr>
              <w:t>Designated Governorates</w:t>
            </w:r>
          </w:p>
        </w:tc>
      </w:tr>
      <w:bookmarkEnd w:id="0"/>
      <w:tr w:rsidR="00743E69" w:rsidRPr="007652C7" w:rsidTr="00AA0837">
        <w:trPr>
          <w:trHeight w:val="312"/>
          <w:jc w:val="center"/>
        </w:trPr>
        <w:tc>
          <w:tcPr>
            <w:tcW w:w="39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43E69" w:rsidRPr="007652C7" w:rsidRDefault="00743E69" w:rsidP="00AA0837">
            <w:pPr>
              <w:rPr>
                <w:color w:val="0D0D0D"/>
                <w:sz w:val="20"/>
                <w:szCs w:val="20"/>
              </w:rPr>
            </w:pPr>
            <w:r w:rsidRPr="007652C7">
              <w:rPr>
                <w:color w:val="0D0D0D"/>
                <w:sz w:val="20"/>
                <w:szCs w:val="20"/>
              </w:rPr>
              <w:t xml:space="preserve">American Canadian Center </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3E69" w:rsidRPr="007652C7" w:rsidRDefault="00743E69" w:rsidP="00AA0837">
            <w:pPr>
              <w:rPr>
                <w:color w:val="0D0D0D"/>
                <w:sz w:val="20"/>
                <w:szCs w:val="20"/>
              </w:rPr>
            </w:pPr>
            <w:r w:rsidRPr="007652C7">
              <w:rPr>
                <w:color w:val="0D0D0D"/>
                <w:sz w:val="20"/>
                <w:szCs w:val="20"/>
              </w:rPr>
              <w:t>Menoufia , Kafr El Sheikh, Qalubiya, and Gharbia.</w:t>
            </w:r>
          </w:p>
        </w:tc>
      </w:tr>
      <w:tr w:rsidR="00743E69" w:rsidRPr="007652C7" w:rsidTr="00AA0837">
        <w:trPr>
          <w:trHeight w:val="312"/>
          <w:jc w:val="center"/>
        </w:trPr>
        <w:tc>
          <w:tcPr>
            <w:tcW w:w="39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43E69" w:rsidRPr="007652C7" w:rsidRDefault="00743E69" w:rsidP="00AA0837">
            <w:pPr>
              <w:rPr>
                <w:color w:val="0D0D0D"/>
                <w:sz w:val="20"/>
                <w:szCs w:val="20"/>
              </w:rPr>
            </w:pPr>
            <w:r w:rsidRPr="007652C7">
              <w:rPr>
                <w:color w:val="0D0D0D"/>
                <w:sz w:val="20"/>
                <w:szCs w:val="20"/>
              </w:rPr>
              <w:t>Beni Suef University</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3E69" w:rsidRPr="007652C7" w:rsidRDefault="00743E69" w:rsidP="00AA0837">
            <w:pPr>
              <w:rPr>
                <w:color w:val="0D0D0D"/>
                <w:sz w:val="20"/>
                <w:szCs w:val="20"/>
              </w:rPr>
            </w:pPr>
            <w:r w:rsidRPr="007652C7">
              <w:rPr>
                <w:color w:val="0D0D0D"/>
                <w:sz w:val="20"/>
                <w:szCs w:val="20"/>
              </w:rPr>
              <w:t>Beni Suef</w:t>
            </w:r>
          </w:p>
        </w:tc>
      </w:tr>
      <w:tr w:rsidR="00743E69" w:rsidRPr="007652C7" w:rsidTr="00AA0837">
        <w:trPr>
          <w:trHeight w:val="312"/>
          <w:jc w:val="center"/>
        </w:trPr>
        <w:tc>
          <w:tcPr>
            <w:tcW w:w="39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43E69" w:rsidRPr="007652C7" w:rsidRDefault="00743E69" w:rsidP="00AA0837">
            <w:pPr>
              <w:rPr>
                <w:color w:val="0D0D0D"/>
                <w:sz w:val="20"/>
                <w:szCs w:val="20"/>
              </w:rPr>
            </w:pPr>
            <w:r w:rsidRPr="007652C7">
              <w:rPr>
                <w:color w:val="0D0D0D"/>
                <w:sz w:val="20"/>
                <w:szCs w:val="20"/>
              </w:rPr>
              <w:t>Mansoura University</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3E69" w:rsidRPr="007652C7" w:rsidRDefault="00743E69" w:rsidP="00AA0837">
            <w:pPr>
              <w:rPr>
                <w:color w:val="0D0D0D"/>
                <w:sz w:val="20"/>
                <w:szCs w:val="20"/>
              </w:rPr>
            </w:pPr>
            <w:r w:rsidRPr="007652C7">
              <w:rPr>
                <w:color w:val="0D0D0D"/>
                <w:sz w:val="20"/>
                <w:szCs w:val="20"/>
              </w:rPr>
              <w:t xml:space="preserve">Dakahlia </w:t>
            </w:r>
          </w:p>
        </w:tc>
      </w:tr>
      <w:tr w:rsidR="00743E69" w:rsidRPr="007652C7" w:rsidTr="00AA0837">
        <w:trPr>
          <w:trHeight w:val="312"/>
          <w:jc w:val="center"/>
        </w:trPr>
        <w:tc>
          <w:tcPr>
            <w:tcW w:w="39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43E69" w:rsidRPr="007652C7" w:rsidRDefault="00743E69" w:rsidP="00AA0837">
            <w:pPr>
              <w:rPr>
                <w:color w:val="0D0D0D"/>
                <w:sz w:val="20"/>
                <w:szCs w:val="20"/>
              </w:rPr>
            </w:pPr>
            <w:r w:rsidRPr="007652C7">
              <w:rPr>
                <w:color w:val="0D0D0D"/>
                <w:sz w:val="20"/>
                <w:szCs w:val="20"/>
              </w:rPr>
              <w:t>Nile Academy</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3E69" w:rsidRPr="007652C7" w:rsidRDefault="00743E69" w:rsidP="00AA0837">
            <w:pPr>
              <w:rPr>
                <w:color w:val="0D0D0D"/>
                <w:sz w:val="20"/>
                <w:szCs w:val="20"/>
                <w:highlight w:val="yellow"/>
              </w:rPr>
            </w:pPr>
            <w:r w:rsidRPr="007652C7">
              <w:rPr>
                <w:color w:val="0D0D0D"/>
                <w:sz w:val="20"/>
                <w:szCs w:val="20"/>
              </w:rPr>
              <w:t>Mansoura and Damietta</w:t>
            </w:r>
          </w:p>
        </w:tc>
      </w:tr>
      <w:tr w:rsidR="00743E69" w:rsidRPr="007652C7" w:rsidTr="00AA0837">
        <w:trPr>
          <w:trHeight w:val="312"/>
          <w:jc w:val="center"/>
        </w:trPr>
        <w:tc>
          <w:tcPr>
            <w:tcW w:w="39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43E69" w:rsidRPr="007652C7" w:rsidRDefault="00743E69" w:rsidP="00AA0837">
            <w:pPr>
              <w:rPr>
                <w:color w:val="0D0D0D"/>
                <w:sz w:val="20"/>
                <w:szCs w:val="20"/>
              </w:rPr>
            </w:pPr>
            <w:r w:rsidRPr="007652C7">
              <w:rPr>
                <w:color w:val="0D0D0D"/>
                <w:sz w:val="20"/>
                <w:szCs w:val="20"/>
              </w:rPr>
              <w:t>MASRYA</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3E69" w:rsidRPr="007652C7" w:rsidRDefault="00743E69" w:rsidP="00AA0837">
            <w:pPr>
              <w:rPr>
                <w:color w:val="0D0D0D"/>
                <w:sz w:val="20"/>
                <w:szCs w:val="20"/>
              </w:rPr>
            </w:pPr>
            <w:r w:rsidRPr="007652C7">
              <w:rPr>
                <w:color w:val="0D0D0D"/>
                <w:sz w:val="20"/>
                <w:szCs w:val="20"/>
              </w:rPr>
              <w:t>Sohag, Assiut, New Valley, Qena, Luxor, &amp; Aswan.</w:t>
            </w:r>
          </w:p>
        </w:tc>
      </w:tr>
    </w:tbl>
    <w:p w:rsidR="00743E69" w:rsidRPr="007652C7" w:rsidRDefault="00743E69" w:rsidP="00743E69">
      <w:pPr>
        <w:pStyle w:val="Default"/>
        <w:numPr>
          <w:ilvl w:val="0"/>
          <w:numId w:val="7"/>
        </w:numPr>
        <w:adjustRightInd/>
        <w:rPr>
          <w:sz w:val="20"/>
          <w:szCs w:val="20"/>
        </w:rPr>
      </w:pPr>
      <w:r w:rsidRPr="007652C7">
        <w:rPr>
          <w:sz w:val="20"/>
          <w:szCs w:val="20"/>
        </w:rPr>
        <w:t>For Long Term English candidates: A minimum valid Local TOEFL score of 450 from AMIDEAST Egypt or any of the ETS Authorized Distributors and/or ITP Testing Centers</w:t>
      </w:r>
    </w:p>
    <w:p w:rsidR="00743E69" w:rsidRPr="007652C7" w:rsidRDefault="00743E69" w:rsidP="007652C7">
      <w:pPr>
        <w:rPr>
          <w:sz w:val="20"/>
          <w:szCs w:val="20"/>
        </w:rPr>
      </w:pPr>
    </w:p>
    <w:p w:rsidR="007652C7" w:rsidRPr="003F00B3" w:rsidRDefault="007652C7" w:rsidP="007652C7">
      <w:pPr>
        <w:rPr>
          <w:b/>
          <w:bCs/>
          <w:sz w:val="20"/>
          <w:szCs w:val="20"/>
        </w:rPr>
      </w:pPr>
      <w:r w:rsidRPr="003F00B3">
        <w:rPr>
          <w:b/>
          <w:bCs/>
          <w:sz w:val="20"/>
          <w:szCs w:val="20"/>
        </w:rPr>
        <w:t xml:space="preserve">ELIGIBLE FIELDS (Applicants from Egypt can only apply in one of the following fields): </w:t>
      </w:r>
    </w:p>
    <w:p w:rsidR="007652C7" w:rsidRPr="003F00B3" w:rsidRDefault="007652C7" w:rsidP="007652C7">
      <w:pPr>
        <w:rPr>
          <w:sz w:val="20"/>
          <w:szCs w:val="20"/>
        </w:rPr>
      </w:pPr>
      <w:r w:rsidRPr="003F00B3">
        <w:rPr>
          <w:sz w:val="20"/>
          <w:szCs w:val="20"/>
        </w:rPr>
        <w:t>Communications/journalism; economic development; finance and banking; higher education administration; human resource management; law and human rights; natural resources management/ environmental policy/ climate change; public health policy and management; public policy analysis and public administration; substance abuse education, treatment and prevention; urban and regional planning</w:t>
      </w:r>
    </w:p>
    <w:p w:rsidR="006767BC" w:rsidRPr="002159FF" w:rsidRDefault="006767BC" w:rsidP="006767BC">
      <w:pPr>
        <w:rPr>
          <w:sz w:val="22"/>
          <w:szCs w:val="22"/>
        </w:rPr>
      </w:pPr>
    </w:p>
    <w:p w:rsidR="004F449B" w:rsidRPr="003F00B3" w:rsidRDefault="00397F49" w:rsidP="003F00B3">
      <w:pPr>
        <w:rPr>
          <w:sz w:val="20"/>
          <w:szCs w:val="20"/>
        </w:rPr>
      </w:pPr>
      <w:r w:rsidRPr="003F00B3">
        <w:rPr>
          <w:b/>
          <w:sz w:val="20"/>
          <w:szCs w:val="20"/>
        </w:rPr>
        <w:t>GRANT BENEFITS</w:t>
      </w:r>
      <w:r w:rsidRPr="003F00B3">
        <w:rPr>
          <w:sz w:val="20"/>
          <w:szCs w:val="20"/>
        </w:rPr>
        <w:t>:</w:t>
      </w:r>
    </w:p>
    <w:p w:rsidR="00397F49" w:rsidRPr="003F00B3" w:rsidRDefault="00397F49" w:rsidP="00603FC1">
      <w:pPr>
        <w:numPr>
          <w:ilvl w:val="0"/>
          <w:numId w:val="5"/>
        </w:numPr>
        <w:rPr>
          <w:sz w:val="20"/>
          <w:szCs w:val="20"/>
        </w:rPr>
      </w:pPr>
      <w:r w:rsidRPr="003F00B3">
        <w:rPr>
          <w:sz w:val="20"/>
          <w:szCs w:val="20"/>
        </w:rPr>
        <w:t>International and domestic travel</w:t>
      </w:r>
    </w:p>
    <w:p w:rsidR="00397F49" w:rsidRPr="003F00B3" w:rsidRDefault="002159FF" w:rsidP="00603FC1">
      <w:pPr>
        <w:numPr>
          <w:ilvl w:val="0"/>
          <w:numId w:val="5"/>
        </w:numPr>
        <w:rPr>
          <w:sz w:val="20"/>
          <w:szCs w:val="20"/>
        </w:rPr>
      </w:pPr>
      <w:r w:rsidRPr="003F00B3">
        <w:rPr>
          <w:sz w:val="20"/>
          <w:szCs w:val="20"/>
        </w:rPr>
        <w:t>S</w:t>
      </w:r>
      <w:r w:rsidR="00397F49" w:rsidRPr="003F00B3">
        <w:rPr>
          <w:sz w:val="20"/>
          <w:szCs w:val="20"/>
        </w:rPr>
        <w:t>tipend</w:t>
      </w:r>
    </w:p>
    <w:p w:rsidR="00603FC1" w:rsidRPr="003F00B3" w:rsidRDefault="00397F49" w:rsidP="00603FC1">
      <w:pPr>
        <w:numPr>
          <w:ilvl w:val="0"/>
          <w:numId w:val="5"/>
        </w:numPr>
        <w:rPr>
          <w:sz w:val="20"/>
          <w:szCs w:val="20"/>
        </w:rPr>
      </w:pPr>
      <w:r w:rsidRPr="003F00B3">
        <w:rPr>
          <w:sz w:val="20"/>
          <w:szCs w:val="20"/>
        </w:rPr>
        <w:t>Settling-in</w:t>
      </w:r>
      <w:r w:rsidR="00603FC1" w:rsidRPr="003F00B3">
        <w:rPr>
          <w:sz w:val="20"/>
          <w:szCs w:val="20"/>
        </w:rPr>
        <w:t xml:space="preserve"> allowance</w:t>
      </w:r>
    </w:p>
    <w:p w:rsidR="00397F49" w:rsidRPr="003F00B3" w:rsidRDefault="00397F49" w:rsidP="00603FC1">
      <w:pPr>
        <w:numPr>
          <w:ilvl w:val="0"/>
          <w:numId w:val="5"/>
        </w:numPr>
        <w:rPr>
          <w:sz w:val="20"/>
          <w:szCs w:val="20"/>
        </w:rPr>
      </w:pPr>
      <w:r w:rsidRPr="003F00B3">
        <w:rPr>
          <w:sz w:val="20"/>
          <w:szCs w:val="20"/>
        </w:rPr>
        <w:t>Books</w:t>
      </w:r>
      <w:r w:rsidR="00603FC1" w:rsidRPr="003F00B3">
        <w:rPr>
          <w:sz w:val="20"/>
          <w:szCs w:val="20"/>
        </w:rPr>
        <w:t xml:space="preserve"> allowance</w:t>
      </w:r>
    </w:p>
    <w:p w:rsidR="00397F49" w:rsidRPr="003F00B3" w:rsidRDefault="00397F49" w:rsidP="00603FC1">
      <w:pPr>
        <w:numPr>
          <w:ilvl w:val="0"/>
          <w:numId w:val="5"/>
        </w:numPr>
        <w:rPr>
          <w:sz w:val="20"/>
          <w:szCs w:val="20"/>
        </w:rPr>
      </w:pPr>
      <w:r w:rsidRPr="003F00B3">
        <w:rPr>
          <w:sz w:val="20"/>
          <w:szCs w:val="20"/>
        </w:rPr>
        <w:t>Tuition and fees when applicable</w:t>
      </w:r>
    </w:p>
    <w:p w:rsidR="00397F49" w:rsidRPr="003F00B3" w:rsidRDefault="00397F49" w:rsidP="00603FC1">
      <w:pPr>
        <w:numPr>
          <w:ilvl w:val="0"/>
          <w:numId w:val="5"/>
        </w:numPr>
        <w:rPr>
          <w:sz w:val="20"/>
          <w:szCs w:val="20"/>
        </w:rPr>
      </w:pPr>
      <w:r w:rsidRPr="003F00B3">
        <w:rPr>
          <w:sz w:val="20"/>
          <w:szCs w:val="20"/>
        </w:rPr>
        <w:t>Professional development</w:t>
      </w:r>
      <w:r w:rsidR="00603FC1" w:rsidRPr="003F00B3">
        <w:rPr>
          <w:sz w:val="20"/>
          <w:szCs w:val="20"/>
        </w:rPr>
        <w:t xml:space="preserve"> allowance</w:t>
      </w:r>
    </w:p>
    <w:p w:rsidR="001949FF" w:rsidRPr="003F00B3" w:rsidRDefault="001949FF" w:rsidP="00397F49">
      <w:pPr>
        <w:rPr>
          <w:sz w:val="20"/>
          <w:szCs w:val="20"/>
        </w:rPr>
      </w:pPr>
    </w:p>
    <w:p w:rsidR="004F449B" w:rsidRPr="003F00B3" w:rsidRDefault="004126F1" w:rsidP="003F00B3">
      <w:pPr>
        <w:rPr>
          <w:b/>
          <w:sz w:val="20"/>
          <w:szCs w:val="20"/>
        </w:rPr>
      </w:pPr>
      <w:r w:rsidRPr="003F00B3">
        <w:rPr>
          <w:b/>
          <w:sz w:val="20"/>
          <w:szCs w:val="20"/>
        </w:rPr>
        <w:t>AY201</w:t>
      </w:r>
      <w:r w:rsidR="003F00B3" w:rsidRPr="003F00B3">
        <w:rPr>
          <w:b/>
          <w:sz w:val="20"/>
          <w:szCs w:val="20"/>
        </w:rPr>
        <w:t>6</w:t>
      </w:r>
      <w:r w:rsidRPr="003F00B3">
        <w:rPr>
          <w:b/>
          <w:sz w:val="20"/>
          <w:szCs w:val="20"/>
        </w:rPr>
        <w:t>-201</w:t>
      </w:r>
      <w:r w:rsidR="003F00B3" w:rsidRPr="003F00B3">
        <w:rPr>
          <w:b/>
          <w:sz w:val="20"/>
          <w:szCs w:val="20"/>
        </w:rPr>
        <w:t>7</w:t>
      </w:r>
      <w:r w:rsidR="00397F49" w:rsidRPr="003F00B3">
        <w:rPr>
          <w:b/>
          <w:sz w:val="20"/>
          <w:szCs w:val="20"/>
        </w:rPr>
        <w:t xml:space="preserve"> PROGRAM:</w:t>
      </w:r>
    </w:p>
    <w:p w:rsidR="00042EED" w:rsidRPr="003F00B3" w:rsidRDefault="00D0480D" w:rsidP="006767BC">
      <w:pPr>
        <w:pStyle w:val="Default"/>
        <w:tabs>
          <w:tab w:val="left" w:pos="1440"/>
        </w:tabs>
        <w:rPr>
          <w:color w:val="000000" w:themeColor="text1"/>
          <w:sz w:val="20"/>
          <w:szCs w:val="20"/>
        </w:rPr>
      </w:pPr>
      <w:r>
        <w:rPr>
          <w:color w:val="000000" w:themeColor="text1"/>
          <w:sz w:val="20"/>
          <w:szCs w:val="20"/>
        </w:rPr>
        <w:t>April 21</w:t>
      </w:r>
      <w:r w:rsidR="003F00B3" w:rsidRPr="003F00B3">
        <w:rPr>
          <w:color w:val="000000" w:themeColor="text1"/>
          <w:sz w:val="20"/>
          <w:szCs w:val="20"/>
        </w:rPr>
        <w:t>, 2015</w:t>
      </w:r>
      <w:r w:rsidR="00042EED" w:rsidRPr="003F00B3">
        <w:rPr>
          <w:color w:val="000000" w:themeColor="text1"/>
          <w:sz w:val="20"/>
          <w:szCs w:val="20"/>
        </w:rPr>
        <w:t>:</w:t>
      </w:r>
      <w:r w:rsidR="00042EED" w:rsidRPr="003F00B3">
        <w:rPr>
          <w:color w:val="000000" w:themeColor="text1"/>
          <w:sz w:val="20"/>
          <w:szCs w:val="20"/>
        </w:rPr>
        <w:tab/>
        <w:t>Program announcement</w:t>
      </w:r>
    </w:p>
    <w:p w:rsidR="00042EED" w:rsidRPr="003F00B3" w:rsidRDefault="00042EED" w:rsidP="00042EED">
      <w:pPr>
        <w:pStyle w:val="Default"/>
        <w:tabs>
          <w:tab w:val="left" w:pos="1440"/>
        </w:tabs>
        <w:rPr>
          <w:color w:val="000000" w:themeColor="text1"/>
          <w:sz w:val="20"/>
          <w:szCs w:val="20"/>
        </w:rPr>
      </w:pPr>
      <w:r w:rsidRPr="003F00B3">
        <w:rPr>
          <w:color w:val="000000" w:themeColor="text1"/>
          <w:sz w:val="20"/>
          <w:szCs w:val="20"/>
        </w:rPr>
        <w:t>Application:</w:t>
      </w:r>
      <w:r w:rsidRPr="003F00B3">
        <w:rPr>
          <w:color w:val="000000" w:themeColor="text1"/>
          <w:sz w:val="20"/>
          <w:szCs w:val="20"/>
        </w:rPr>
        <w:tab/>
        <w:t>Visit</w:t>
      </w:r>
      <w:r w:rsidRPr="003F00B3">
        <w:rPr>
          <w:sz w:val="20"/>
          <w:szCs w:val="20"/>
        </w:rPr>
        <w:t xml:space="preserve"> </w:t>
      </w:r>
      <w:hyperlink r:id="rId6" w:history="1">
        <w:r w:rsidRPr="003F00B3">
          <w:rPr>
            <w:rStyle w:val="Hyperlink"/>
            <w:sz w:val="20"/>
            <w:szCs w:val="20"/>
          </w:rPr>
          <w:t>https://apply.embark.com/student/humphrey/fellowship/</w:t>
        </w:r>
      </w:hyperlink>
    </w:p>
    <w:p w:rsidR="00042EED" w:rsidRPr="003F00B3" w:rsidRDefault="00042EED" w:rsidP="00042EED">
      <w:pPr>
        <w:pStyle w:val="Default"/>
        <w:tabs>
          <w:tab w:val="left" w:pos="1440"/>
        </w:tabs>
        <w:rPr>
          <w:color w:val="000000" w:themeColor="text1"/>
          <w:sz w:val="20"/>
          <w:szCs w:val="20"/>
        </w:rPr>
      </w:pPr>
      <w:r w:rsidRPr="003F00B3">
        <w:rPr>
          <w:color w:val="000000" w:themeColor="text1"/>
          <w:sz w:val="20"/>
          <w:szCs w:val="20"/>
        </w:rPr>
        <w:t>Guidelines:</w:t>
      </w:r>
      <w:r w:rsidRPr="003F00B3">
        <w:rPr>
          <w:color w:val="000000" w:themeColor="text1"/>
          <w:sz w:val="20"/>
          <w:szCs w:val="20"/>
        </w:rPr>
        <w:tab/>
        <w:t xml:space="preserve">Visit </w:t>
      </w:r>
      <w:hyperlink r:id="rId7" w:history="1">
        <w:r w:rsidRPr="003F00B3">
          <w:rPr>
            <w:rStyle w:val="Hyperlink"/>
            <w:sz w:val="20"/>
            <w:szCs w:val="20"/>
          </w:rPr>
          <w:t>www.fulbright-egypt.org</w:t>
        </w:r>
      </w:hyperlink>
    </w:p>
    <w:p w:rsidR="00042EED" w:rsidRPr="003F00B3" w:rsidRDefault="006767BC" w:rsidP="003F00B3">
      <w:pPr>
        <w:pStyle w:val="Default"/>
        <w:tabs>
          <w:tab w:val="left" w:pos="1440"/>
        </w:tabs>
        <w:rPr>
          <w:color w:val="000000" w:themeColor="text1"/>
          <w:sz w:val="20"/>
          <w:szCs w:val="20"/>
        </w:rPr>
      </w:pPr>
      <w:r w:rsidRPr="003F00B3">
        <w:rPr>
          <w:color w:val="000000" w:themeColor="text1"/>
          <w:sz w:val="20"/>
          <w:szCs w:val="20"/>
        </w:rPr>
        <w:t>July</w:t>
      </w:r>
      <w:r w:rsidR="000E54AD" w:rsidRPr="003F00B3">
        <w:rPr>
          <w:color w:val="000000" w:themeColor="text1"/>
          <w:sz w:val="20"/>
          <w:szCs w:val="20"/>
        </w:rPr>
        <w:t xml:space="preserve"> </w:t>
      </w:r>
      <w:r w:rsidR="003F00B3" w:rsidRPr="003F00B3">
        <w:rPr>
          <w:color w:val="000000" w:themeColor="text1"/>
          <w:sz w:val="20"/>
          <w:szCs w:val="20"/>
        </w:rPr>
        <w:t>13, 2015</w:t>
      </w:r>
      <w:r w:rsidR="00042EED" w:rsidRPr="003F00B3">
        <w:rPr>
          <w:color w:val="000000" w:themeColor="text1"/>
          <w:sz w:val="20"/>
          <w:szCs w:val="20"/>
        </w:rPr>
        <w:t>:</w:t>
      </w:r>
      <w:r w:rsidR="00042EED" w:rsidRPr="003F00B3">
        <w:rPr>
          <w:color w:val="000000" w:themeColor="text1"/>
          <w:sz w:val="20"/>
          <w:szCs w:val="20"/>
        </w:rPr>
        <w:tab/>
        <w:t xml:space="preserve">Deadline for submission of </w:t>
      </w:r>
      <w:r w:rsidR="003F00B3" w:rsidRPr="003F00B3">
        <w:rPr>
          <w:color w:val="000000" w:themeColor="text1"/>
          <w:sz w:val="20"/>
          <w:szCs w:val="20"/>
        </w:rPr>
        <w:t xml:space="preserve">hard copies of the </w:t>
      </w:r>
      <w:r w:rsidR="00042EED" w:rsidRPr="003F00B3">
        <w:rPr>
          <w:color w:val="000000" w:themeColor="text1"/>
          <w:sz w:val="20"/>
          <w:szCs w:val="20"/>
        </w:rPr>
        <w:t>online application and supporting documents</w:t>
      </w:r>
    </w:p>
    <w:p w:rsidR="003F00B3" w:rsidRDefault="003F00B3" w:rsidP="003F00B3">
      <w:pPr>
        <w:pStyle w:val="Default"/>
        <w:rPr>
          <w:b/>
          <w:sz w:val="22"/>
          <w:szCs w:val="22"/>
        </w:rPr>
      </w:pPr>
    </w:p>
    <w:p w:rsidR="003F00B3" w:rsidRPr="003F00B3" w:rsidRDefault="003F00B3" w:rsidP="003F00B3">
      <w:pPr>
        <w:pStyle w:val="Default"/>
        <w:rPr>
          <w:color w:val="000000" w:themeColor="text1"/>
          <w:sz w:val="20"/>
          <w:szCs w:val="20"/>
        </w:rPr>
      </w:pPr>
      <w:r w:rsidRPr="003F00B3">
        <w:rPr>
          <w:b/>
          <w:color w:val="000000" w:themeColor="text1"/>
          <w:sz w:val="20"/>
          <w:szCs w:val="20"/>
        </w:rPr>
        <w:t>In-House Information Sessions:</w:t>
      </w:r>
      <w:r w:rsidRPr="003F00B3">
        <w:rPr>
          <w:sz w:val="20"/>
          <w:szCs w:val="20"/>
        </w:rPr>
        <w:t xml:space="preserve"> </w:t>
      </w:r>
      <w:r w:rsidRPr="003F00B3">
        <w:rPr>
          <w:color w:val="auto"/>
          <w:sz w:val="20"/>
          <w:szCs w:val="20"/>
        </w:rPr>
        <w:t>May 11 and June 1 and 15 from 12:00PM-2:00PM</w:t>
      </w:r>
    </w:p>
    <w:p w:rsidR="003F00B3" w:rsidRPr="003F00B3" w:rsidRDefault="003F00B3" w:rsidP="003F00B3">
      <w:pPr>
        <w:pStyle w:val="Default"/>
        <w:rPr>
          <w:color w:val="auto"/>
          <w:sz w:val="20"/>
          <w:szCs w:val="20"/>
        </w:rPr>
      </w:pPr>
      <w:r w:rsidRPr="003F00B3">
        <w:rPr>
          <w:b/>
          <w:color w:val="000000" w:themeColor="text1"/>
          <w:sz w:val="20"/>
          <w:szCs w:val="20"/>
        </w:rPr>
        <w:t xml:space="preserve">Attendance is by prior registration only.  To register please contact </w:t>
      </w:r>
      <w:hyperlink r:id="rId8" w:history="1">
        <w:r w:rsidRPr="003F00B3">
          <w:rPr>
            <w:rStyle w:val="Hyperlink"/>
            <w:b/>
            <w:sz w:val="20"/>
            <w:szCs w:val="20"/>
          </w:rPr>
          <w:t>InfosessionHHH@bfce.eun.eg</w:t>
        </w:r>
      </w:hyperlink>
    </w:p>
    <w:p w:rsidR="002159FF" w:rsidRPr="003F00B3" w:rsidRDefault="002159FF" w:rsidP="002159FF">
      <w:pPr>
        <w:pStyle w:val="Default"/>
        <w:rPr>
          <w:color w:val="000000" w:themeColor="text1"/>
          <w:sz w:val="20"/>
          <w:szCs w:val="20"/>
        </w:rPr>
      </w:pPr>
    </w:p>
    <w:p w:rsidR="00BE205D" w:rsidRPr="003F00B3" w:rsidRDefault="002159FF" w:rsidP="003F00B3">
      <w:pPr>
        <w:rPr>
          <w:sz w:val="20"/>
          <w:szCs w:val="20"/>
        </w:rPr>
      </w:pPr>
      <w:r w:rsidRPr="003F00B3">
        <w:rPr>
          <w:bCs/>
          <w:sz w:val="20"/>
          <w:szCs w:val="20"/>
        </w:rPr>
        <w:t xml:space="preserve">For additional information please contact </w:t>
      </w:r>
      <w:hyperlink r:id="rId9" w:history="1">
        <w:r w:rsidRPr="003F00B3">
          <w:rPr>
            <w:rStyle w:val="Hyperlink"/>
            <w:sz w:val="20"/>
            <w:szCs w:val="20"/>
          </w:rPr>
          <w:t>domar@bfce.eun.eg</w:t>
        </w:r>
      </w:hyperlink>
      <w:r w:rsidRPr="003F00B3">
        <w:rPr>
          <w:sz w:val="20"/>
          <w:szCs w:val="20"/>
        </w:rPr>
        <w:t xml:space="preserve"> or visit </w:t>
      </w:r>
      <w:hyperlink r:id="rId10" w:history="1">
        <w:r w:rsidRPr="003F00B3">
          <w:rPr>
            <w:rStyle w:val="Hyperlink"/>
            <w:sz w:val="20"/>
            <w:szCs w:val="20"/>
          </w:rPr>
          <w:t>www.fulbright-egypt.org</w:t>
        </w:r>
      </w:hyperlink>
      <w:r w:rsidRPr="003F00B3">
        <w:rPr>
          <w:sz w:val="20"/>
          <w:szCs w:val="20"/>
        </w:rPr>
        <w:t>.</w:t>
      </w:r>
    </w:p>
    <w:sectPr w:rsidR="00BE205D" w:rsidRPr="003F00B3" w:rsidSect="00843C01">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3EF9"/>
    <w:multiLevelType w:val="hybridMultilevel"/>
    <w:tmpl w:val="50B45D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06F7062"/>
    <w:multiLevelType w:val="hybridMultilevel"/>
    <w:tmpl w:val="75C8F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23019C8"/>
    <w:multiLevelType w:val="hybridMultilevel"/>
    <w:tmpl w:val="781683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AAE573A"/>
    <w:multiLevelType w:val="hybridMultilevel"/>
    <w:tmpl w:val="306C1A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02A3F7F"/>
    <w:multiLevelType w:val="hybridMultilevel"/>
    <w:tmpl w:val="7E82C0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BD202CA"/>
    <w:multiLevelType w:val="hybridMultilevel"/>
    <w:tmpl w:val="7302AF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E752623"/>
    <w:multiLevelType w:val="hybridMultilevel"/>
    <w:tmpl w:val="B62AF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62E3C73"/>
    <w:multiLevelType w:val="hybridMultilevel"/>
    <w:tmpl w:val="8946C4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
  </w:num>
  <w:num w:numId="3">
    <w:abstractNumId w:val="7"/>
  </w:num>
  <w:num w:numId="4">
    <w:abstractNumId w:val="2"/>
  </w:num>
  <w:num w:numId="5">
    <w:abstractNumId w:val="3"/>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B13"/>
    <w:rsid w:val="000031EB"/>
    <w:rsid w:val="00042EED"/>
    <w:rsid w:val="000B73E8"/>
    <w:rsid w:val="000E54AD"/>
    <w:rsid w:val="000F3569"/>
    <w:rsid w:val="00103CFA"/>
    <w:rsid w:val="001514F4"/>
    <w:rsid w:val="001862D0"/>
    <w:rsid w:val="001949FF"/>
    <w:rsid w:val="00204B43"/>
    <w:rsid w:val="002159FF"/>
    <w:rsid w:val="002378CE"/>
    <w:rsid w:val="00245AAB"/>
    <w:rsid w:val="00253FF7"/>
    <w:rsid w:val="00260A00"/>
    <w:rsid w:val="002B1978"/>
    <w:rsid w:val="002C32A6"/>
    <w:rsid w:val="00393B68"/>
    <w:rsid w:val="00397F49"/>
    <w:rsid w:val="003C2DEF"/>
    <w:rsid w:val="003F00B3"/>
    <w:rsid w:val="004126F1"/>
    <w:rsid w:val="00484FE1"/>
    <w:rsid w:val="004F449B"/>
    <w:rsid w:val="0055518D"/>
    <w:rsid w:val="00561CE6"/>
    <w:rsid w:val="0057784A"/>
    <w:rsid w:val="005803ED"/>
    <w:rsid w:val="0059276C"/>
    <w:rsid w:val="00601A3F"/>
    <w:rsid w:val="00603FC1"/>
    <w:rsid w:val="00610D50"/>
    <w:rsid w:val="006767BC"/>
    <w:rsid w:val="006970EE"/>
    <w:rsid w:val="006C2114"/>
    <w:rsid w:val="00743E69"/>
    <w:rsid w:val="00757F5C"/>
    <w:rsid w:val="007652C7"/>
    <w:rsid w:val="0077218D"/>
    <w:rsid w:val="00775B1C"/>
    <w:rsid w:val="00800DAB"/>
    <w:rsid w:val="00843C01"/>
    <w:rsid w:val="00880795"/>
    <w:rsid w:val="008B1FE0"/>
    <w:rsid w:val="008C52DB"/>
    <w:rsid w:val="008D11BC"/>
    <w:rsid w:val="008D597F"/>
    <w:rsid w:val="008E6B13"/>
    <w:rsid w:val="008F232F"/>
    <w:rsid w:val="00900C89"/>
    <w:rsid w:val="0091499C"/>
    <w:rsid w:val="009313E7"/>
    <w:rsid w:val="00980A2B"/>
    <w:rsid w:val="009B2638"/>
    <w:rsid w:val="009D0B05"/>
    <w:rsid w:val="00A95549"/>
    <w:rsid w:val="00AA0837"/>
    <w:rsid w:val="00B25ECB"/>
    <w:rsid w:val="00B36755"/>
    <w:rsid w:val="00BD0F8B"/>
    <w:rsid w:val="00BD6173"/>
    <w:rsid w:val="00BE205D"/>
    <w:rsid w:val="00C0053D"/>
    <w:rsid w:val="00C32687"/>
    <w:rsid w:val="00C3532A"/>
    <w:rsid w:val="00CC48E8"/>
    <w:rsid w:val="00CE0DDE"/>
    <w:rsid w:val="00D0480D"/>
    <w:rsid w:val="00D06641"/>
    <w:rsid w:val="00D242EC"/>
    <w:rsid w:val="00D4673B"/>
    <w:rsid w:val="00D7324C"/>
    <w:rsid w:val="00DB61CB"/>
    <w:rsid w:val="00DD53DB"/>
    <w:rsid w:val="00DE03F1"/>
    <w:rsid w:val="00E01482"/>
    <w:rsid w:val="00E34102"/>
    <w:rsid w:val="00E5705B"/>
    <w:rsid w:val="00FC39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4533D2-C64D-4367-8E56-05912848D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A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0A2B"/>
    <w:rPr>
      <w:color w:val="0000FF"/>
      <w:u w:val="single"/>
    </w:rPr>
  </w:style>
  <w:style w:type="paragraph" w:styleId="BalloonText">
    <w:name w:val="Balloon Text"/>
    <w:basedOn w:val="Normal"/>
    <w:semiHidden/>
    <w:rsid w:val="002B1978"/>
    <w:rPr>
      <w:rFonts w:ascii="Tahoma" w:hAnsi="Tahoma" w:cs="Tahoma"/>
      <w:sz w:val="16"/>
      <w:szCs w:val="16"/>
    </w:rPr>
  </w:style>
  <w:style w:type="paragraph" w:customStyle="1" w:styleId="Default">
    <w:name w:val="Default"/>
    <w:rsid w:val="002159F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essionHHH@bfce.eun.eg" TargetMode="External"/><Relationship Id="rId3" Type="http://schemas.openxmlformats.org/officeDocument/2006/relationships/settings" Target="settings.xml"/><Relationship Id="rId7" Type="http://schemas.openxmlformats.org/officeDocument/2006/relationships/hyperlink" Target="http://www.fulbright-egyp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ly.embark.com/student/humphrey/fellowship/"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fulbright-egypt.org" TargetMode="External"/><Relationship Id="rId4" Type="http://schemas.openxmlformats.org/officeDocument/2006/relationships/webSettings" Target="webSettings.xml"/><Relationship Id="rId9" Type="http://schemas.openxmlformats.org/officeDocument/2006/relationships/hyperlink" Target="mailto:domar@bfce.eun.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Fulbright Commission</Company>
  <LinksUpToDate>false</LinksUpToDate>
  <CharactersWithSpaces>3142</CharactersWithSpaces>
  <SharedDoc>false</SharedDoc>
  <HLinks>
    <vt:vector size="6" baseType="variant">
      <vt:variant>
        <vt:i4>655465</vt:i4>
      </vt:variant>
      <vt:variant>
        <vt:i4>3</vt:i4>
      </vt:variant>
      <vt:variant>
        <vt:i4>0</vt:i4>
      </vt:variant>
      <vt:variant>
        <vt:i4>5</vt:i4>
      </vt:variant>
      <vt:variant>
        <vt:lpwstr>mailto:domar@bfce.eun.eg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Lohof</dc:creator>
  <cp:lastModifiedBy>Sico</cp:lastModifiedBy>
  <cp:revision>4</cp:revision>
  <cp:lastPrinted>2013-04-17T09:31:00Z</cp:lastPrinted>
  <dcterms:created xsi:type="dcterms:W3CDTF">2015-07-02T09:22:00Z</dcterms:created>
  <dcterms:modified xsi:type="dcterms:W3CDTF">2015-07-02T09:23:00Z</dcterms:modified>
</cp:coreProperties>
</file>